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819717" cy="144015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19717" cy="14401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160" w:line="25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Antrag Projektförderung Nevatim 2025</w:t>
      </w:r>
      <w:r w:rsidDel="00000000" w:rsidR="00000000" w:rsidRPr="00000000">
        <w:rPr>
          <w:rtl w:val="0"/>
        </w:rPr>
      </w:r>
    </w:p>
    <w:tbl>
      <w:tblPr>
        <w:tblStyle w:val="Table1"/>
        <w:tblW w:w="9435.0" w:type="dxa"/>
        <w:jc w:val="left"/>
        <w:tblInd w:w="-120.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9435"/>
        <w:tblGridChange w:id="0">
          <w:tblGrid>
            <w:gridCol w:w="9435"/>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bdd6ee"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1. Titel des Projekts </w:t>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bl>
      <w:tblPr>
        <w:tblStyle w:val="Table2"/>
        <w:tblW w:w="9375.0" w:type="dxa"/>
        <w:jc w:val="left"/>
        <w:tblInd w:w="-120.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9375"/>
        <w:tblGridChange w:id="0">
          <w:tblGrid>
            <w:gridCol w:w="9375"/>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bdd6ee"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2. Informationen zum Antragsteller </w:t>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leader="none" w:pos="360"/>
        </w:tabs>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Bitte geben Sie alle aktuellen Kontaktpersonen, Kontaktdaten und Funktion an </w:t>
      </w:r>
    </w:p>
    <w:p w:rsidR="00000000" w:rsidDel="00000000" w:rsidP="00000000" w:rsidRDefault="00000000" w:rsidRPr="00000000" w14:paraId="0000000B">
      <w:pP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white"/>
          <w:rtl w:val="0"/>
        </w:rPr>
        <w:t xml:space="preserve">mindestens 3 Kontaktpersonen mit E-Mail Adressen und Telefonnummern)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ind w:left="7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Bitte schicken Sie uns im Anhang </w:t>
      </w:r>
      <w:r w:rsidDel="00000000" w:rsidR="00000000" w:rsidRPr="00000000">
        <w:rPr>
          <w:rFonts w:ascii="Arial" w:cs="Arial" w:eastAsia="Arial" w:hAnsi="Arial"/>
          <w:b w:val="1"/>
          <w:sz w:val="22"/>
          <w:szCs w:val="22"/>
          <w:rtl w:val="0"/>
        </w:rPr>
        <w:t xml:space="preserve">tabellarischer Lebensläufe der 3 Antragsteller</w:t>
      </w:r>
      <w:r w:rsidDel="00000000" w:rsidR="00000000" w:rsidRPr="00000000">
        <w:rPr>
          <w:rFonts w:ascii="Arial" w:cs="Arial" w:eastAsia="Arial" w:hAnsi="Arial"/>
          <w:sz w:val="22"/>
          <w:szCs w:val="22"/>
          <w:rtl w:val="0"/>
        </w:rPr>
        <w:t xml:space="preserve"> ggf. inklusive Beschreibung der einschlägigen Erfahrung.</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Falls vorhanden, Angaben von Partnerorganisationen, Kooperation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Institutionelle Anbindung: Nennung der Organisation (inkl. Leiter der Organisation) und Bankverbindung des Zahlungsempfängers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60"/>
        </w:tabs>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3"/>
        <w:tblW w:w="9615.0" w:type="dxa"/>
        <w:jc w:val="left"/>
        <w:tblInd w:w="-120.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9615"/>
        <w:tblGridChange w:id="0">
          <w:tblGrid>
            <w:gridCol w:w="9615"/>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bdd6ee"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3. Projektbeschreibung. </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Pitch your idea! Beschreib dein Projekt in drei bis maximal fünf Sätzen.</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 findet dein Projekt statt? Was ist der geografische Geltungsbereich deines Projekts?</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Was hat dich zu der Projektidee bewegt? Erläutere deine persönliche Motivation für das Projekt.</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Projektidee, kurzes inhaltliches Konzept.</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Was ist die Ausgangslage und der Ist-Zustand und um welches Problem soll sich das Projekt explizit kümmern?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willst du mit dem Projekt erreichen? Beschreibe die Projektziele.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Welche Herausforderungen können während deines Projekts auftreten? Bitte erläutere, was du und dein Team vorhaben, um diese Risiken zu verringern?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wen richtet sich das Projekt? Beschreibe deine Zielgruppe.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Zeitraum des Projekts (Projektstart und -endtermin)*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Der Projektzeitraum beginnt frühestens im November 2025 und endet spätestens am 31. Dezember 2026.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Welche Bildungsinhalten sollen bei pädagogischen Projekten vermittelt werden? (falls relevant)</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Werden im Projekt folgende Themen behandelt: Geschlechtsspezifische Gewalt, psychische Gesundheit/psychosoziale Dienste, wirtschaftliche Inklusion, Rechtsschutz? (falls zutreffend, erläutern) </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Vorgesehene Referenten, ggf. Personal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Vorgesehene Öffentlichkeitsarbeit* (Werbung, Pressearbeit o.Ä.) </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0"/>
          <w:szCs w:val="20"/>
          <w:rtl w:val="0"/>
        </w:rPr>
        <w:t xml:space="preserve">Vorausgesetzt wird die regelmäßige Einreichung von Foto- und Videomaterial während der Projektlaufzeit zur Stärkung unserer Öffentlichkeitsarbeit.</w: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Outreach! Wie viele Leute wollt ihr erreichen?</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Wie willst du dein Projekt auswerten? (z.B. Feedback-Runde, Evaluationsbogen)</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Welche Kriterien der Erfolgskontrolle setzt du im Projekt ein?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Zeitplan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Bitte gebt einen vorläufigen Zeitplan über den Projektverlauf an.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z.B.: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tbl>
      <w:tblPr>
        <w:tblStyle w:val="Table4"/>
        <w:tblW w:w="89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2"/>
        <w:gridCol w:w="1797"/>
        <w:gridCol w:w="2418"/>
        <w:gridCol w:w="2626"/>
        <w:tblGridChange w:id="0">
          <w:tblGrid>
            <w:gridCol w:w="2132"/>
            <w:gridCol w:w="1797"/>
            <w:gridCol w:w="2418"/>
            <w:gridCol w:w="26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Datum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Aktivitätsname/-thema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Aktivitätsbeschreibung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geplante Teilnehmer*innenzah</w:t>
            </w:r>
            <w:r w:rsidDel="00000000" w:rsidR="00000000" w:rsidRPr="00000000">
              <w:rPr>
                <w:rFonts w:ascii="Arial" w:cs="Arial" w:eastAsia="Arial" w:hAnsi="Arial"/>
                <w:sz w:val="22"/>
                <w:szCs w:val="22"/>
                <w:rtl w:val="0"/>
              </w:rPr>
              <w:t xml:space="preserve">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5"/>
        <w:tblW w:w="9210.0" w:type="dxa"/>
        <w:jc w:val="left"/>
        <w:tblInd w:w="-120.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9210"/>
        <w:tblGridChange w:id="0">
          <w:tblGrid>
            <w:gridCol w:w="9210"/>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bdd6ee"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4. Finanzielle Angaben </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dd6ee"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*Maximale Höhe des Zuschusses von Nevatim beträgt 10 000 Euro.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Gefördert werden Honorarkosten, Sachkosten, Druckkosten, Reisekosten (nur 2.Klasse), Unterkunftskosten. Alle Posten müssen aufgeschlüsselt werden. </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Aufwandsentschädigungen für das Projektteam dürfen 10% vom beantragten Zuschuss nicht übersteigen.</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6"/>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99"/>
        <w:gridCol w:w="1573"/>
        <w:tblGridChange w:id="0">
          <w:tblGrid>
            <w:gridCol w:w="7499"/>
            <w:gridCol w:w="1573"/>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1">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Voraussichtliche Ausgaben</w:t>
            </w:r>
          </w:p>
          <w:p w:rsidR="00000000" w:rsidDel="00000000" w:rsidP="00000000" w:rsidRDefault="00000000" w:rsidRPr="00000000" w14:paraId="00000052">
            <w:pPr>
              <w:spacing w:after="120" w:lineRule="auto"/>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3">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w:t>
            </w:r>
          </w:p>
        </w:tc>
      </w:tr>
      <w:tr>
        <w:trPr>
          <w:cantSplit w:val="0"/>
          <w:tblHeader w:val="0"/>
        </w:trPr>
        <w:tc>
          <w:tcPr>
            <w:tcBorders>
              <w:top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Honorarkosten/Aufwandsentschädigung                                </w:t>
            </w:r>
          </w:p>
        </w:tc>
        <w:tc>
          <w:tcPr>
            <w:tcBorders>
              <w:top w:color="000000" w:space="0" w:sz="4" w:val="single"/>
            </w:tcBorders>
            <w:vAlign w:val="center"/>
          </w:tcPr>
          <w:p w:rsidR="00000000" w:rsidDel="00000000" w:rsidP="00000000" w:rsidRDefault="00000000" w:rsidRPr="00000000" w14:paraId="00000055">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57">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59">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05B">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Sachkosten (Materialien, Druckkosten, Lebensmittelkosten, weitere) </w:t>
            </w:r>
          </w:p>
        </w:tc>
        <w:tc>
          <w:tcPr>
            <w:vAlign w:val="center"/>
          </w:tcPr>
          <w:p w:rsidR="00000000" w:rsidDel="00000000" w:rsidP="00000000" w:rsidRDefault="00000000" w:rsidRPr="00000000" w14:paraId="0000005D">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5F">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61">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w:t>
            </w:r>
          </w:p>
        </w:tc>
        <w:tc>
          <w:tcPr>
            <w:vAlign w:val="center"/>
          </w:tcPr>
          <w:p w:rsidR="00000000" w:rsidDel="00000000" w:rsidP="00000000" w:rsidRDefault="00000000" w:rsidRPr="00000000" w14:paraId="00000063">
            <w:pPr>
              <w:spacing w:after="120" w:lineRule="auto"/>
              <w:rPr>
                <w:rFonts w:ascii="Arial" w:cs="Arial" w:eastAsia="Arial" w:hAnsi="Arial"/>
                <w:sz w:val="22"/>
                <w:szCs w:val="22"/>
              </w:rPr>
            </w:pPr>
            <w:r w:rsidDel="00000000" w:rsidR="00000000" w:rsidRPr="00000000">
              <w:rPr>
                <w:rtl w:val="0"/>
              </w:rPr>
            </w:r>
          </w:p>
        </w:tc>
      </w:tr>
      <w:tr>
        <w:trPr>
          <w:cantSplit w:val="0"/>
          <w:trHeight w:val="495" w:hRule="atLeast"/>
          <w:tblHeader w:val="0"/>
        </w:trPr>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Fahrtkosten  </w:t>
            </w:r>
          </w:p>
        </w:tc>
        <w:tc>
          <w:tcPr>
            <w:vAlign w:val="center"/>
          </w:tcPr>
          <w:p w:rsidR="00000000" w:rsidDel="00000000" w:rsidP="00000000" w:rsidRDefault="00000000" w:rsidRPr="00000000" w14:paraId="00000065">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67">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69">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w:t>
            </w:r>
          </w:p>
        </w:tc>
        <w:tc>
          <w:tcPr>
            <w:vAlign w:val="center"/>
          </w:tcPr>
          <w:p w:rsidR="00000000" w:rsidDel="00000000" w:rsidP="00000000" w:rsidRDefault="00000000" w:rsidRPr="00000000" w14:paraId="0000006B">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Unterkunftskosten</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6E">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70">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072">
            <w:pPr>
              <w:spacing w:after="12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Sonstige (Raummiete, Transportkosten, Eintrittskosten, Beitragskosten, Verwaltungskosten: bitte aufschlüsseln nach Kategorien) </w:t>
            </w:r>
          </w:p>
        </w:tc>
        <w:tc>
          <w:tcPr>
            <w:vAlign w:val="center"/>
          </w:tcPr>
          <w:p w:rsidR="00000000" w:rsidDel="00000000" w:rsidP="00000000" w:rsidRDefault="00000000" w:rsidRPr="00000000" w14:paraId="00000074">
            <w:pPr>
              <w:spacing w:after="12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076">
            <w:pPr>
              <w:spacing w:after="12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078">
            <w:pPr>
              <w:spacing w:after="120" w:lineRule="auto"/>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Gesamt</w:t>
            </w:r>
          </w:p>
        </w:tc>
        <w:tc>
          <w:tcPr>
            <w:vAlign w:val="center"/>
          </w:tcPr>
          <w:p w:rsidR="00000000" w:rsidDel="00000000" w:rsidP="00000000" w:rsidRDefault="00000000" w:rsidRPr="00000000" w14:paraId="0000007A">
            <w:pPr>
              <w:spacing w:after="12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bl>
      <w:tblPr>
        <w:tblStyle w:val="Table7"/>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92"/>
        <w:gridCol w:w="1580"/>
        <w:tblGridChange w:id="0">
          <w:tblGrid>
            <w:gridCol w:w="7492"/>
            <w:gridCol w:w="158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C">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Erwartete Einnahmen</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D">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Euro</w:t>
            </w:r>
          </w:p>
        </w:tc>
      </w:tr>
      <w:tr>
        <w:trPr>
          <w:cantSplit w:val="0"/>
          <w:tblHeader w:val="0"/>
        </w:trPr>
        <w:tc>
          <w:tcPr>
            <w:tcBorders>
              <w:top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Eigenmittel des Projektträgers </w:t>
            </w:r>
          </w:p>
        </w:tc>
        <w:tc>
          <w:tcPr>
            <w:tcBorders>
              <w:top w:color="000000" w:space="0" w:sz="4" w:val="single"/>
            </w:tcBorders>
            <w:vAlign w:val="center"/>
          </w:tcPr>
          <w:p w:rsidR="00000000" w:rsidDel="00000000" w:rsidP="00000000" w:rsidRDefault="00000000" w:rsidRPr="00000000" w14:paraId="0000007F">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Teilnehmerbeiträge</w:t>
            </w:r>
          </w:p>
        </w:tc>
        <w:tc>
          <w:tcPr>
            <w:vAlign w:val="center"/>
          </w:tcPr>
          <w:p w:rsidR="00000000" w:rsidDel="00000000" w:rsidP="00000000" w:rsidRDefault="00000000" w:rsidRPr="00000000" w14:paraId="00000081">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Spenden</w:t>
            </w:r>
          </w:p>
        </w:tc>
        <w:tc>
          <w:tcPr>
            <w:vAlign w:val="center"/>
          </w:tcPr>
          <w:p w:rsidR="00000000" w:rsidDel="00000000" w:rsidP="00000000" w:rsidRDefault="00000000" w:rsidRPr="00000000" w14:paraId="00000083">
            <w:pPr>
              <w:spacing w:after="120" w:lineRule="auto"/>
              <w:rPr>
                <w:rFonts w:ascii="Arial" w:cs="Arial" w:eastAsia="Arial" w:hAnsi="Arial"/>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Umfang der beantragten Finanzierung bei Nevatim</w:t>
            </w:r>
          </w:p>
        </w:tc>
        <w:tc>
          <w:tcPr>
            <w:vAlign w:val="center"/>
          </w:tcPr>
          <w:p w:rsidR="00000000" w:rsidDel="00000000" w:rsidP="00000000" w:rsidRDefault="00000000" w:rsidRPr="00000000" w14:paraId="00000085">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086">
            <w:pPr>
              <w:spacing w:after="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Gesamt</w:t>
            </w:r>
          </w:p>
        </w:tc>
        <w:tc>
          <w:tcPr/>
          <w:p w:rsidR="00000000" w:rsidDel="00000000" w:rsidP="00000000" w:rsidRDefault="00000000" w:rsidRPr="00000000" w14:paraId="00000087">
            <w:pPr>
              <w:spacing w:after="12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bl>
      <w:tblPr>
        <w:tblStyle w:val="Table8"/>
        <w:tblW w:w="9615.0" w:type="dxa"/>
        <w:jc w:val="left"/>
        <w:tblInd w:w="-120.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9615"/>
        <w:tblGridChange w:id="0">
          <w:tblGrid>
            <w:gridCol w:w="9615"/>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bdd6ee"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5. Vernetzung</w:t>
            </w:r>
          </w:p>
        </w:tc>
      </w:tr>
    </w:tbl>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Das Nevatim Förderungsprogramm besteht aus einer finanziellen und einer ideellen Förderung. Das Projektteam ist verpflichtet an zwei Seminaren und einer Konferenz im Laufe des Förderzeitraumes (bis 31.12.2026) teilzunehmen: </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07. – 09. November 2025</w:t>
      </w:r>
      <w:r w:rsidDel="00000000" w:rsidR="00000000" w:rsidRPr="00000000">
        <w:rPr>
          <w:rFonts w:ascii="Arial" w:cs="Arial" w:eastAsia="Arial" w:hAnsi="Arial"/>
          <w:sz w:val="22"/>
          <w:szCs w:val="22"/>
          <w:rtl w:val="0"/>
        </w:rPr>
        <w:t xml:space="preserve"> Nevatim Konferenz (Leipzig)</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2026: 1. Nevatim Seminar (tba)</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2026: 2. Nevatim Seminar (tba)</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Besteht die Bereitschaft an den Seminaren und der Konferenz des Nevatim-Programms teilzunehmen? </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JA / NEIN</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9"/>
        <w:tblW w:w="9555.0" w:type="dxa"/>
        <w:jc w:val="left"/>
        <w:tblInd w:w="-120.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4410"/>
        <w:gridCol w:w="5145"/>
        <w:tblGridChange w:id="0">
          <w:tblGrid>
            <w:gridCol w:w="4410"/>
            <w:gridCol w:w="5145"/>
          </w:tblGrid>
        </w:tblGridChange>
      </w:tblGrid>
      <w:tr>
        <w:trPr>
          <w:cantSplit w:val="0"/>
          <w:trHeight w:val="420" w:hRule="atLeast"/>
          <w:tblHeader w:val="0"/>
        </w:trPr>
        <w:tc>
          <w:tcPr>
            <w:tcBorders>
              <w:top w:color="00000a" w:space="0" w:sz="6" w:val="single"/>
              <w:left w:color="00000a" w:space="0" w:sz="6" w:val="single"/>
              <w:bottom w:color="00000a" w:space="0" w:sz="6" w:val="single"/>
              <w:right w:color="00000a" w:space="0" w:sz="6" w:val="single"/>
            </w:tcBorders>
            <w:shd w:fill="9cc2e5" w:val="cle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i w:val="1"/>
                <w:sz w:val="22"/>
                <w:szCs w:val="22"/>
                <w:rtl w:val="0"/>
              </w:rPr>
              <w:t xml:space="preserve">Ort, Datum</w:t>
            </w:r>
            <w:r w:rsidDel="00000000" w:rsidR="00000000" w:rsidRPr="00000000">
              <w:rPr>
                <w:rFonts w:ascii="Arial" w:cs="Arial" w:eastAsia="Arial" w:hAnsi="Arial"/>
                <w:sz w:val="22"/>
                <w:szCs w:val="22"/>
                <w:rtl w:val="0"/>
              </w:rPr>
              <w:t xml:space="preserve"> </w:t>
            </w:r>
          </w:p>
        </w:tc>
        <w:tc>
          <w:tcPr>
            <w:tcBorders>
              <w:top w:color="00000a" w:space="0" w:sz="6" w:val="single"/>
              <w:left w:color="00000a" w:space="0" w:sz="6" w:val="single"/>
              <w:bottom w:color="00000a" w:space="0" w:sz="6" w:val="single"/>
              <w:right w:color="00000a" w:space="0" w:sz="6" w:val="single"/>
            </w:tcBorders>
            <w:shd w:fill="9cc2e5"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i w:val="1"/>
                <w:sz w:val="22"/>
                <w:szCs w:val="22"/>
                <w:rtl w:val="0"/>
              </w:rPr>
              <w:t xml:space="preserve">Unterschrift des Antragstellers</w:t>
            </w:r>
            <w:r w:rsidDel="00000000" w:rsidR="00000000" w:rsidRPr="00000000">
              <w:rPr>
                <w:rFonts w:ascii="Arial" w:cs="Arial" w:eastAsia="Arial" w:hAnsi="Arial"/>
                <w:sz w:val="22"/>
                <w:szCs w:val="22"/>
                <w:rtl w:val="0"/>
              </w:rPr>
              <w:t xml:space="preserve"> </w:t>
            </w:r>
          </w:p>
        </w:tc>
      </w:tr>
      <w:tr>
        <w:trPr>
          <w:cantSplit w:val="0"/>
          <w:trHeight w:val="420" w:hRule="atLeast"/>
          <w:tblHeader w:val="0"/>
        </w:trPr>
        <w:tc>
          <w:tcPr>
            <w:tcBorders>
              <w:top w:color="00000a" w:space="0" w:sz="6" w:val="single"/>
              <w:left w:color="00000a" w:space="0" w:sz="6" w:val="single"/>
              <w:bottom w:color="00000a" w:space="0" w:sz="6" w:val="single"/>
              <w:right w:color="00000a" w:space="0" w:sz="6" w:val="single"/>
            </w:tcBorders>
            <w:shd w:fill="ffffff"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a" w:space="0" w:sz="6" w:val="single"/>
              <w:left w:color="00000a" w:space="0" w:sz="6" w:val="single"/>
              <w:bottom w:color="00000a" w:space="0" w:sz="6" w:val="single"/>
              <w:right w:color="00000a" w:space="0" w:sz="6" w:val="single"/>
            </w:tcBorders>
            <w:shd w:fill="ffffff"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Anhang: Tabellarische Lebensläufe der Initiativgruppe (mind. 3 Personen)</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Stand 01.08.2026</w:t>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Förderprogramm „NEVATIM“</w:t>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Die Bedingungen des Wettbewerbs und die Anforderungen zu den Projekten.</w:t>
      </w:r>
    </w:p>
    <w:p w:rsidR="00000000" w:rsidDel="00000000" w:rsidP="00000000" w:rsidRDefault="00000000" w:rsidRPr="00000000" w14:paraId="000000A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numPr>
          <w:ilvl w:val="0"/>
          <w:numId w:val="5"/>
        </w:numPr>
        <w:spacing w:line="276" w:lineRule="auto"/>
        <w:ind w:left="144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Was wird gefördert?</w:t>
      </w:r>
    </w:p>
    <w:p w:rsidR="00000000" w:rsidDel="00000000" w:rsidP="00000000" w:rsidRDefault="00000000" w:rsidRPr="00000000" w14:paraId="000000A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Nevatim ist ein Förderprogramm der Jewish Agency for Israel und unterstützt Bildungsinitiativen, die auf das</w:t>
      </w:r>
      <w:r w:rsidDel="00000000" w:rsidR="00000000" w:rsidRPr="00000000">
        <w:rPr>
          <w:rFonts w:ascii="Arial" w:cs="Arial" w:eastAsia="Arial" w:hAnsi="Arial"/>
          <w:b w:val="1"/>
          <w:sz w:val="22"/>
          <w:szCs w:val="22"/>
          <w:rtl w:val="0"/>
        </w:rPr>
        <w:t xml:space="preserve"> Erwachen und die Entwicklung des jüdischen Selbstbewusstseins </w:t>
      </w:r>
      <w:r w:rsidDel="00000000" w:rsidR="00000000" w:rsidRPr="00000000">
        <w:rPr>
          <w:rFonts w:ascii="Arial" w:cs="Arial" w:eastAsia="Arial" w:hAnsi="Arial"/>
          <w:sz w:val="22"/>
          <w:szCs w:val="22"/>
          <w:rtl w:val="0"/>
        </w:rPr>
        <w:t xml:space="preserve">bei der</w:t>
      </w:r>
      <w:r w:rsidDel="00000000" w:rsidR="00000000" w:rsidRPr="00000000">
        <w:rPr>
          <w:rFonts w:ascii="Arial" w:cs="Arial" w:eastAsia="Arial" w:hAnsi="Arial"/>
          <w:b w:val="1"/>
          <w:sz w:val="22"/>
          <w:szCs w:val="22"/>
          <w:rtl w:val="0"/>
        </w:rPr>
        <w:t xml:space="preserve"> jüdischen Jugend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Studierende</w:t>
      </w:r>
      <w:r w:rsidDel="00000000" w:rsidR="00000000" w:rsidRPr="00000000">
        <w:rPr>
          <w:rFonts w:ascii="Arial" w:cs="Arial" w:eastAsia="Arial" w:hAnsi="Arial"/>
          <w:sz w:val="22"/>
          <w:szCs w:val="22"/>
          <w:rtl w:val="0"/>
        </w:rPr>
        <w:t xml:space="preserve"> und </w:t>
      </w:r>
      <w:r w:rsidDel="00000000" w:rsidR="00000000" w:rsidRPr="00000000">
        <w:rPr>
          <w:rFonts w:ascii="Arial" w:cs="Arial" w:eastAsia="Arial" w:hAnsi="Arial"/>
          <w:b w:val="1"/>
          <w:sz w:val="22"/>
          <w:szCs w:val="22"/>
          <w:rtl w:val="0"/>
        </w:rPr>
        <w:t xml:space="preserve">jungen Familien </w:t>
      </w:r>
      <w:r w:rsidDel="00000000" w:rsidR="00000000" w:rsidRPr="00000000">
        <w:rPr>
          <w:rFonts w:ascii="Arial" w:cs="Arial" w:eastAsia="Arial" w:hAnsi="Arial"/>
          <w:sz w:val="22"/>
          <w:szCs w:val="22"/>
          <w:rtl w:val="0"/>
        </w:rPr>
        <w:t xml:space="preserve">gerichtet sind, die</w:t>
      </w:r>
      <w:r w:rsidDel="00000000" w:rsidR="00000000" w:rsidRPr="00000000">
        <w:rPr>
          <w:rFonts w:ascii="Arial" w:cs="Arial" w:eastAsia="Arial" w:hAnsi="Arial"/>
          <w:b w:val="1"/>
          <w:sz w:val="22"/>
          <w:szCs w:val="22"/>
          <w:rtl w:val="0"/>
        </w:rPr>
        <w:t xml:space="preserve"> jüdische Gemeinschaft</w:t>
      </w:r>
      <w:r w:rsidDel="00000000" w:rsidR="00000000" w:rsidRPr="00000000">
        <w:rPr>
          <w:rFonts w:ascii="Arial" w:cs="Arial" w:eastAsia="Arial" w:hAnsi="Arial"/>
          <w:sz w:val="22"/>
          <w:szCs w:val="22"/>
          <w:rtl w:val="0"/>
        </w:rPr>
        <w:t xml:space="preserve"> in Europa stärken und die </w:t>
      </w:r>
      <w:r w:rsidDel="00000000" w:rsidR="00000000" w:rsidRPr="00000000">
        <w:rPr>
          <w:rFonts w:ascii="Arial" w:cs="Arial" w:eastAsia="Arial" w:hAnsi="Arial"/>
          <w:b w:val="1"/>
          <w:sz w:val="22"/>
          <w:szCs w:val="22"/>
          <w:rtl w:val="0"/>
        </w:rPr>
        <w:t xml:space="preserve">Verbindung zu Israel </w:t>
      </w:r>
      <w:r w:rsidDel="00000000" w:rsidR="00000000" w:rsidRPr="00000000">
        <w:rPr>
          <w:rFonts w:ascii="Arial" w:cs="Arial" w:eastAsia="Arial" w:hAnsi="Arial"/>
          <w:sz w:val="22"/>
          <w:szCs w:val="22"/>
          <w:rtl w:val="0"/>
        </w:rPr>
        <w:t xml:space="preserve">festigen.</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Nevatim nimmt vorrangig Anträge auf Förderung von nicht-kommerziellen Projekten in den folgenden Bereichen entgegen:</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Projekte im Bereich der informellen jüdischen Bildung von jüdischen jungen Erwachsenen, Studierenden und Akademiker*innen</w:t>
      </w:r>
    </w:p>
    <w:p w:rsidR="00000000" w:rsidDel="00000000" w:rsidP="00000000" w:rsidRDefault="00000000" w:rsidRPr="00000000" w14:paraId="000000AD">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Jüdische Bildungsangebote für Kinder und Familien</w:t>
      </w:r>
    </w:p>
    <w:p w:rsidR="00000000" w:rsidDel="00000000" w:rsidP="00000000" w:rsidRDefault="00000000" w:rsidRPr="00000000" w14:paraId="000000AE">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Projekte mit einem bildungs- oder soziokulturellen Schwerpunkt </w:t>
      </w:r>
    </w:p>
    <w:p w:rsidR="00000000" w:rsidDel="00000000" w:rsidP="00000000" w:rsidRDefault="00000000" w:rsidRPr="00000000" w14:paraId="000000AF">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Projekte, die sich dem Aufbau der jüdischen Community widmen</w:t>
      </w:r>
    </w:p>
    <w:p w:rsidR="00000000" w:rsidDel="00000000" w:rsidP="00000000" w:rsidRDefault="00000000" w:rsidRPr="00000000" w14:paraId="000000B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Andere Aktivitätsbereiche sind in begründeten Fällen förderungswürdig.</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Das Nevatim-Programm legt großen Wert darauf, dass die Projektmaßnahmen im Rahmen des Gesamtförderungszeitraums entstehen und umgesetzt werden. Ein- oder Mehrtagesveranstaltungen werden nicht gefördert.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numPr>
          <w:ilvl w:val="0"/>
          <w:numId w:val="5"/>
        </w:numPr>
        <w:spacing w:line="276" w:lineRule="auto"/>
        <w:ind w:left="144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Wer kann einen Förderantrag stellen?</w:t>
      </w:r>
    </w:p>
    <w:p w:rsidR="00000000" w:rsidDel="00000000" w:rsidP="00000000" w:rsidRDefault="00000000" w:rsidRPr="00000000" w14:paraId="000000B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Es werden </w:t>
      </w:r>
      <w:r w:rsidDel="00000000" w:rsidR="00000000" w:rsidRPr="00000000">
        <w:rPr>
          <w:rFonts w:ascii="Arial" w:cs="Arial" w:eastAsia="Arial" w:hAnsi="Arial"/>
          <w:b w:val="1"/>
          <w:sz w:val="22"/>
          <w:szCs w:val="22"/>
          <w:rtl w:val="0"/>
        </w:rPr>
        <w:t xml:space="preserve">lokale Initiativgruppen</w:t>
      </w:r>
      <w:r w:rsidDel="00000000" w:rsidR="00000000" w:rsidRPr="00000000">
        <w:rPr>
          <w:rFonts w:ascii="Arial" w:cs="Arial" w:eastAsia="Arial" w:hAnsi="Arial"/>
          <w:sz w:val="22"/>
          <w:szCs w:val="22"/>
          <w:rtl w:val="0"/>
        </w:rPr>
        <w:t xml:space="preserve"> gefördert, bei welchen die jüdische Bildungsarbeit im Mittelpunkt Ihrer Aktivitäten liegt. Die Förderung bestehender jüdischer Organisationen als Ganzes ist nicht möglich, lediglich </w:t>
      </w:r>
      <w:r w:rsidDel="00000000" w:rsidR="00000000" w:rsidRPr="00000000">
        <w:rPr>
          <w:rFonts w:ascii="Arial" w:cs="Arial" w:eastAsia="Arial" w:hAnsi="Arial"/>
          <w:b w:val="1"/>
          <w:sz w:val="22"/>
          <w:szCs w:val="22"/>
          <w:rtl w:val="0"/>
        </w:rPr>
        <w:t xml:space="preserve">einzelne konkrete Initiativen</w:t>
      </w:r>
      <w:r w:rsidDel="00000000" w:rsidR="00000000" w:rsidRPr="00000000">
        <w:rPr>
          <w:rFonts w:ascii="Arial" w:cs="Arial" w:eastAsia="Arial" w:hAnsi="Arial"/>
          <w:sz w:val="22"/>
          <w:szCs w:val="22"/>
          <w:rtl w:val="0"/>
        </w:rPr>
        <w:t xml:space="preserve"> sind förderungswürdig. Die </w:t>
      </w:r>
      <w:r w:rsidDel="00000000" w:rsidR="00000000" w:rsidRPr="00000000">
        <w:rPr>
          <w:rFonts w:ascii="Arial" w:cs="Arial" w:eastAsia="Arial" w:hAnsi="Arial"/>
          <w:b w:val="1"/>
          <w:sz w:val="22"/>
          <w:szCs w:val="22"/>
          <w:rtl w:val="0"/>
        </w:rPr>
        <w:t xml:space="preserve">Initiativgruppen müssen aus mindestens drei Personen bestehen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Berechtigt zur Antragstellung sind solche Personen, die nach Maßgabe des Rückkehrgesetzes des Staates Israel als Juden gelten, zum Zeitpunkt der Bewerbung nicht unter </w:t>
      </w:r>
      <w:r w:rsidDel="00000000" w:rsidR="00000000" w:rsidRPr="00000000">
        <w:rPr>
          <w:rFonts w:ascii="Arial" w:cs="Arial" w:eastAsia="Arial" w:hAnsi="Arial"/>
          <w:b w:val="1"/>
          <w:sz w:val="22"/>
          <w:szCs w:val="22"/>
          <w:rtl w:val="0"/>
        </w:rPr>
        <w:t xml:space="preserve">18 und nicht über 35 Jahre alt </w:t>
      </w:r>
      <w:r w:rsidDel="00000000" w:rsidR="00000000" w:rsidRPr="00000000">
        <w:rPr>
          <w:rFonts w:ascii="Arial" w:cs="Arial" w:eastAsia="Arial" w:hAnsi="Arial"/>
          <w:sz w:val="22"/>
          <w:szCs w:val="22"/>
          <w:rtl w:val="0"/>
        </w:rPr>
        <w:t xml:space="preserve">sind und deren Hauptwohnsitz sich in der Europäischen Union befindet.</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Die </w:t>
      </w:r>
      <w:r w:rsidDel="00000000" w:rsidR="00000000" w:rsidRPr="00000000">
        <w:rPr>
          <w:rFonts w:ascii="Arial" w:cs="Arial" w:eastAsia="Arial" w:hAnsi="Arial"/>
          <w:b w:val="1"/>
          <w:sz w:val="22"/>
          <w:szCs w:val="22"/>
          <w:rtl w:val="0"/>
        </w:rPr>
        <w:t xml:space="preserve">Zielgruppe des Projekts</w:t>
      </w:r>
      <w:r w:rsidDel="00000000" w:rsidR="00000000" w:rsidRPr="00000000">
        <w:rPr>
          <w:rFonts w:ascii="Arial" w:cs="Arial" w:eastAsia="Arial" w:hAnsi="Arial"/>
          <w:sz w:val="22"/>
          <w:szCs w:val="22"/>
          <w:rtl w:val="0"/>
        </w:rPr>
        <w:t xml:space="preserve"> unterliegt diesen Beschränkungen nicht.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Gefördert werden Projekte von unabhängigen Initiativgruppen, diese müssen jedoch durch einer nicht-kommerzielle Organisation, d.h. einer juristischen Person, abgewickelt werden. </w:t>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Mögliche Trägerschaften für die Projekte sind: </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Eingetragene Vereine (e.V.)</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Körperschaften des öffentlichen Rechts (Gemeinden)</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Kommunale Jugendeinrichtungen</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Die Förderung wird im Falle einer Bewilligung auf das Vereinskonto des Trägers ausgezahlt.</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Die Organisation, welche die Fördersumme entgegennimmt, kann jede lokale Organisation sein, die auf legaler Basis in der Europäischen Union tätig ist und die den allgemeinen Prinzipien der demokratischen, jüdischen Bildung nicht widerspricht.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Die Organisation muss den vorliegenden Richtlinien schriftlich zustimmen sowie den abschließend einzureichenden Bericht des Projektverantwortlichen gegenzeichnen. Sollte keine Partnerorganisation zu finden sein, kann Nevatim Unterstützung leisten.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Die bereits von Nevatim geförderte Projekte können einen Antrag auf Verlängerung um ein weiteres Förderjahr stellen.</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Die Initiativgruppen, welche bereits zuvor Zuschüsse von Nevatim bekommen haben, können sich mit neuen Projekideen jederzeit bewerben.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Umfang der Förderung und Co-Finanzierung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Nevatim bietet  Zuschüsse  in  einer  Höhe  von  bis  zu  10 000  Euro  pro  Projekt  und  Förderungsjahr. Die Unterstützung der  Jewish  Agency  for  Israel  soll  eine entscheidende Rolle bei der Realisierung  der Projekte  spielen.  Co-Finanzierungen größerer Projekte sind in der Regel nicht möglich. In begründeten Ausnahmefällen kann hiervon abgewichen werden; die Entscheidung hierüber obliegt der Förderkommission. Sollte die Initiativgruppe/Organisation über eine zusätzliche Finanzierungsquelle des Projektes verfügen, muss diese und die Höhe der Finanzierung gegenüber Nevatim offengelegt werden.</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Weitere Bedingungen der Förderung </w:t>
      </w:r>
    </w:p>
    <w:p w:rsidR="00000000" w:rsidDel="00000000" w:rsidP="00000000" w:rsidRDefault="00000000" w:rsidRPr="00000000" w14:paraId="000000D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Die Förderung durch Nevatim beschränkt  sich  nicht  allein  auf  eine  finanzielle  Unterstützung,  sondern umfasst auch Treffen und Seminare zum Zwecke des Austausches. Eine regelmäßige Teilnahme an diesen Veranstaltungen wird von den Geförderten erwartet. Auf  allen  Veranstaltungen und Veröffentlichungen der Projekte ist auf die Förderung  durch Nevatim unter Verwendung  des Logos der Jewish Agency hinzuweisen. Das Logo der Jewish Agency muss dabei wenigstens 50 v.H. der insgesamt für Logos verwendeten Fläche ausmachen. Abweichungen von diesen Regeln  ziehen  eine Beendigung der Förderung sowie die   Rückforderung aller bisher geleisteten Zahlungen durch Nevatim nach sich. Alle Veranstaltungen sind Nevatim zur Veröffentlichung  im  Newsletter  mitzuteilen,  sodass  diese im  Interesse  des  Netzwerks  auch  anderen  Projektleitern  und –teilnehmern  bekannt  gemacht  werden können. Ferner  sind  nach  jeder  Veranstaltung  Kurzberichte  mit Kommentaren  der  Teilnehmer  sowie Fotos an Nevatim zu senden, die dann ebenfalls im Newsletter verbreitet werden können.</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Ablauf der Bewerbung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Die Förderkommission  legt  jährlich  eine  Anmeldefrist  fest,  innerhalb  derer  Projekte  zur  Förderung angemeldet  werden  können.  Die Förderkommission  trifft  sich  regelmäßig,  um  über  die  eingereichten Anträge zu entscheiden. Anträge, die nach Ende der Anmeldefrist eingehen, können nicht berücksichtigt werden. Es zählt das Eingangsdatum. Der Antrag auf Förderung ist per E-Mail an Nevatim zu richten. Im Antrag sollten in verbindlicher Weise alle in den Punkten angefragte Informationen erhalten sein. </w:t>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Die Anträge sind grundsätzlich auf Deutsch oder Englisch einzureichen. Nach Absprache können auch in anderen Sprachen verfasste Anträge eingereicht werden.</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Bericht</w:t>
      </w:r>
    </w:p>
    <w:p w:rsidR="00000000" w:rsidDel="00000000" w:rsidP="00000000" w:rsidRDefault="00000000" w:rsidRPr="00000000" w14:paraId="000000DE">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Änderungen im Zeit- und Finanzplan des Projektes sind Nevatim unverzüglich mitzuteilen.</w:t>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Eine  Organisation, welche einen Zuschuss erhalten hat, ist verpflichtet, spätestens  vier Wochen nach Ablauf jedes Projektjahres einen Bericht über die durchgeführte  Arbeit und einen Finanzbericht  gemäß der im Vertrag festgelegten Form vorzulegen. Diese umfasst  eine Tabelle mit Einnahmen und Ausgaben sowie einen Fragebogen, der ausgefüllt zurückzusenden ist; beide Dokumente werden von Nevatim zur Verfügung  gestellt.  Daneben sind alle zugehörigen Werbematerialien, Fotos sowie ggfs. Kopien von Medienberichten beizulegen. Die Jewish Agency behält sich das Recht vor, bei einzelnen Projekten bis einschließlich  drei Jahre nach Projektende eine genaue Nachprüfung durchzuführen. Sämtliche Kassenbelege, Quittungen etc. sind daher bis drei Jahre nach Projektende im Original aufzubewahren.</w:t>
      </w:r>
    </w:p>
    <w:sectPr>
      <w:pgSz w:h="16838" w:w="11906" w:orient="portrait"/>
      <w:pgMar w:bottom="1134"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left w:w="-7.0" w:type="dxa"/>
      </w:tblCellMar>
    </w:tblPr>
  </w:style>
  <w:style w:type="table" w:styleId="a0" w:customStyle="1">
    <w:basedOn w:val="TableNormal"/>
    <w:tblPr>
      <w:tblStyleRowBandSize w:val="1"/>
      <w:tblStyleColBandSize w:val="1"/>
      <w:tblCellMar>
        <w:left w:w="-7.0" w:type="dxa"/>
      </w:tblCellMar>
    </w:tblPr>
  </w:style>
  <w:style w:type="table" w:styleId="a1" w:customStyle="1">
    <w:basedOn w:val="TableNormal"/>
    <w:tblPr>
      <w:tblStyleRowBandSize w:val="1"/>
      <w:tblStyleColBandSize w:val="1"/>
      <w:tblCellMar>
        <w:left w:w="-7.0" w:type="dxa"/>
      </w:tblCellMar>
    </w:tblPr>
  </w:style>
  <w:style w:type="table" w:styleId="a2" w:customStyle="1">
    <w:basedOn w:val="TableNormal"/>
    <w:tblPr>
      <w:tblStyleRowBandSize w:val="1"/>
      <w:tblStyleColBandSize w:val="1"/>
      <w:tblCellMar>
        <w:left w:w="103.0" w:type="dxa"/>
        <w:right w:w="108.0" w:type="dxa"/>
      </w:tblCellMar>
    </w:tblPr>
  </w:style>
  <w:style w:type="table" w:styleId="a3" w:customStyle="1">
    <w:basedOn w:val="TableNormal"/>
    <w:tblPr>
      <w:tblStyleRowBandSize w:val="1"/>
      <w:tblStyleColBandSize w:val="1"/>
      <w:tblCellMar>
        <w:left w:w="-7.0" w:type="dxa"/>
      </w:tblCellMar>
    </w:tblPr>
  </w:style>
  <w:style w:type="table" w:styleId="a4" w:customStyle="1">
    <w:basedOn w:val="TableNormal"/>
    <w:tblPr>
      <w:tblStyleRowBandSize w:val="1"/>
      <w:tblStyleColBandSize w:val="1"/>
      <w:tblCellMar>
        <w:left w:w="-7.0" w:type="dxa"/>
      </w:tblCellMar>
    </w:tblPr>
  </w:style>
  <w:style w:type="paragraph" w:styleId="Listenabsatz">
    <w:name w:val="List Paragraph"/>
    <w:basedOn w:val="Standard"/>
    <w:uiPriority w:val="34"/>
    <w:qFormat w:val="1"/>
    <w:rsid w:val="00C42090"/>
    <w:pPr>
      <w:ind w:left="720"/>
      <w:contextualSpacing w:val="1"/>
    </w:pPr>
  </w:style>
  <w:style w:type="table" w:styleId="Table1">
    <w:basedOn w:val="TableNormal"/>
    <w:tblPr>
      <w:tblStyleRowBandSize w:val="1"/>
      <w:tblStyleColBandSize w:val="1"/>
      <w:tblCellMar>
        <w:top w:w="0.0" w:type="dxa"/>
        <w:left w:w="-7.0" w:type="dxa"/>
        <w:bottom w:w="0.0" w:type="dxa"/>
        <w:right w:w="0.0" w:type="dxa"/>
      </w:tblCellMar>
    </w:tblPr>
  </w:style>
  <w:style w:type="table" w:styleId="Table2">
    <w:basedOn w:val="TableNormal"/>
    <w:tblPr>
      <w:tblStyleRowBandSize w:val="1"/>
      <w:tblStyleColBandSize w:val="1"/>
      <w:tblCellMar>
        <w:top w:w="0.0" w:type="dxa"/>
        <w:left w:w="-7.0" w:type="dxa"/>
        <w:bottom w:w="0.0" w:type="dxa"/>
        <w:right w:w="0.0" w:type="dxa"/>
      </w:tblCellMar>
    </w:tblPr>
  </w:style>
  <w:style w:type="table" w:styleId="Table3">
    <w:basedOn w:val="TableNormal"/>
    <w:tblPr>
      <w:tblStyleRowBandSize w:val="1"/>
      <w:tblStyleColBandSize w:val="1"/>
      <w:tblCellMar>
        <w:top w:w="0.0" w:type="dxa"/>
        <w:left w:w="-7.0" w:type="dxa"/>
        <w:bottom w:w="0.0" w:type="dxa"/>
        <w:right w:w="0.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 w:type="dxa"/>
        <w:bottom w:w="0.0" w:type="dxa"/>
        <w:right w:w="0.0" w:type="dxa"/>
      </w:tblCellMar>
    </w:tblPr>
  </w:style>
  <w:style w:type="table" w:styleId="Table9">
    <w:basedOn w:val="TableNormal"/>
    <w:tblPr>
      <w:tblStyleRowBandSize w:val="1"/>
      <w:tblStyleColBandSize w:val="1"/>
      <w:tblCellMar>
        <w:top w:w="0.0" w:type="dxa"/>
        <w:left w:w="-7.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 w:type="dxa"/>
        <w:bottom w:w="0.0" w:type="dxa"/>
        <w:right w:w="0.0" w:type="dxa"/>
      </w:tblCellMar>
    </w:tblPr>
  </w:style>
  <w:style w:type="table" w:styleId="Table2">
    <w:basedOn w:val="TableNormal"/>
    <w:tblPr>
      <w:tblStyleRowBandSize w:val="1"/>
      <w:tblStyleColBandSize w:val="1"/>
      <w:tblCellMar>
        <w:top w:w="0.0" w:type="dxa"/>
        <w:left w:w="-7.0" w:type="dxa"/>
        <w:bottom w:w="0.0" w:type="dxa"/>
        <w:right w:w="0.0" w:type="dxa"/>
      </w:tblCellMar>
    </w:tblPr>
  </w:style>
  <w:style w:type="table" w:styleId="Table3">
    <w:basedOn w:val="TableNormal"/>
    <w:tblPr>
      <w:tblStyleRowBandSize w:val="1"/>
      <w:tblStyleColBandSize w:val="1"/>
      <w:tblCellMar>
        <w:top w:w="0.0" w:type="dxa"/>
        <w:left w:w="-7.0" w:type="dxa"/>
        <w:bottom w:w="0.0" w:type="dxa"/>
        <w:right w:w="0.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 w:type="dxa"/>
        <w:bottom w:w="0.0" w:type="dxa"/>
        <w:right w:w="0.0" w:type="dxa"/>
      </w:tblCellMar>
    </w:tblPr>
  </w:style>
  <w:style w:type="table" w:styleId="Table9">
    <w:basedOn w:val="TableNormal"/>
    <w:tblPr>
      <w:tblStyleRowBandSize w:val="1"/>
      <w:tblStyleColBandSize w:val="1"/>
      <w:tblCellMar>
        <w:top w:w="0.0" w:type="dxa"/>
        <w:left w:w="-7.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6LQdxHFjpHYDhbWslbLBHVD8ew==">CgMxLjA4AHIhMVV3YV9UVEF5bi01cEdnVzdrVHF1eGtZWjlvMHVxWVZs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2025-01-25T11:21:00Z</dcterms:created>
  <dc:creator>Mascha</dc:creator>
</cp:coreProperties>
</file>